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3691255</wp:posOffset>
                </wp:positionV>
                <wp:extent cx="890270" cy="2349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 Лукин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4.89999999999998pt;margin-top:290.64999999999998pt;width:70.099999999999994pt;height:18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Лукин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0"/>
        <w:jc w:val="center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3519170</wp:posOffset>
            </wp:positionH>
            <wp:positionV relativeFrom="margin">
              <wp:posOffset>3587750</wp:posOffset>
            </wp:positionV>
            <wp:extent cx="1774190" cy="59753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74190" cy="5975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об итогах общественного обсуждения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адрес разработчика муниципальной программы «Устойчивое развитие сельских территорий Ленинского муниципального района» в ходе общественного обсуждения с 29.12.2018 года по 12.01.2019 года замечаний и предложений не поступало.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Зам. начальника отдела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сельскому хозяйству и продовольствию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администрации Ленинского муниципального района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1855" w:left="1303" w:right="1198" w:bottom="5846" w:header="1427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6981190</wp:posOffset>
              </wp:positionV>
              <wp:extent cx="1405255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25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Исп. А.В. Дудник, т. 4-11-65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5.900000000000006pt;margin-top:549.70000000000005pt;width:110.65000000000001pt;height:7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Исп. А.В. Дудник, т. 4-11-65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