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A61E2D" w:rsidP="00A6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A61E2D" w:rsidP="00A61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A61E2D" w:rsidRDefault="00A61E2D" w:rsidP="00A90DC3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«Анализ  работы районного банка данных </w:t>
      </w:r>
    </w:p>
    <w:p w:rsidR="00A61E2D" w:rsidRDefault="00A61E2D" w:rsidP="00A90DC3">
      <w:pPr>
        <w:pStyle w:val="Defaul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семьями и несовершеннолетним, находящимися </w:t>
      </w:r>
    </w:p>
    <w:p w:rsidR="00D67FB4" w:rsidRPr="00A90DC3" w:rsidRDefault="00A61E2D" w:rsidP="00A90DC3">
      <w:pPr>
        <w:pStyle w:val="Default"/>
        <w:ind w:firstLine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социальном опасном положении за 2022 год»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1E2D" w:rsidRDefault="00E022A3" w:rsidP="00A61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E2D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A61E2D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A61E2D">
        <w:rPr>
          <w:rFonts w:ascii="Times New Roman" w:hAnsi="Times New Roman"/>
          <w:sz w:val="28"/>
          <w:szCs w:val="28"/>
        </w:rPr>
        <w:t xml:space="preserve"> Т.Ю., заместителя председателя Петровой Л.А., ответственного секретаря </w:t>
      </w:r>
      <w:proofErr w:type="spellStart"/>
      <w:r w:rsidR="00A61E2D">
        <w:rPr>
          <w:rFonts w:ascii="Times New Roman" w:hAnsi="Times New Roman"/>
          <w:sz w:val="28"/>
          <w:szCs w:val="28"/>
        </w:rPr>
        <w:t>Граняк</w:t>
      </w:r>
      <w:proofErr w:type="spellEnd"/>
      <w:r w:rsidR="00A61E2D">
        <w:rPr>
          <w:rFonts w:ascii="Times New Roman" w:hAnsi="Times New Roman"/>
          <w:sz w:val="28"/>
          <w:szCs w:val="28"/>
        </w:rPr>
        <w:t xml:space="preserve"> Ю.Г., членов комиссии: Алешиной А.В., </w:t>
      </w:r>
      <w:proofErr w:type="spellStart"/>
      <w:r w:rsidR="00A61E2D">
        <w:rPr>
          <w:rFonts w:ascii="Times New Roman" w:hAnsi="Times New Roman"/>
          <w:sz w:val="28"/>
          <w:szCs w:val="28"/>
        </w:rPr>
        <w:t>Цабыбина</w:t>
      </w:r>
      <w:proofErr w:type="spellEnd"/>
      <w:r w:rsidR="00A61E2D">
        <w:rPr>
          <w:rFonts w:ascii="Times New Roman" w:hAnsi="Times New Roman"/>
          <w:sz w:val="28"/>
          <w:szCs w:val="28"/>
        </w:rPr>
        <w:t xml:space="preserve"> А.С., </w:t>
      </w:r>
      <w:proofErr w:type="spellStart"/>
      <w:r w:rsidR="00A61E2D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A61E2D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A61E2D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A61E2D">
        <w:rPr>
          <w:rFonts w:ascii="Times New Roman" w:hAnsi="Times New Roman"/>
          <w:sz w:val="28"/>
          <w:szCs w:val="28"/>
        </w:rPr>
        <w:t xml:space="preserve"> И.Б., </w:t>
      </w:r>
      <w:proofErr w:type="spellStart"/>
      <w:r w:rsidR="00A61E2D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A61E2D">
        <w:rPr>
          <w:rFonts w:ascii="Times New Roman" w:hAnsi="Times New Roman"/>
          <w:sz w:val="28"/>
          <w:szCs w:val="28"/>
        </w:rPr>
        <w:t xml:space="preserve"> Р.М.</w:t>
      </w:r>
    </w:p>
    <w:p w:rsidR="00A61E2D" w:rsidRDefault="00A61E2D" w:rsidP="00A61E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И.А. Слободских.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Приглашенные: </w:t>
      </w:r>
      <w:r>
        <w:rPr>
          <w:rFonts w:ascii="Times New Roman" w:hAnsi="Times New Roman"/>
          <w:sz w:val="28"/>
          <w:szCs w:val="28"/>
        </w:rPr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ЦСОН»; 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 - инспектор ПДН ОУУП и ПДН ОМВД России по Ленинскому району.</w:t>
      </w:r>
    </w:p>
    <w:p w:rsidR="00E022A3" w:rsidRPr="000B3DCC" w:rsidRDefault="00275EC2" w:rsidP="00662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1E2D">
        <w:rPr>
          <w:rFonts w:ascii="Times New Roman" w:hAnsi="Times New Roman"/>
          <w:sz w:val="28"/>
          <w:szCs w:val="28"/>
        </w:rPr>
        <w:t>ответственного секретаря комиссии по делам несовершеннолетних и защите их прав Ленинского муниципального района</w:t>
      </w:r>
      <w:r w:rsidR="003966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3B5">
        <w:rPr>
          <w:rFonts w:ascii="Times New Roman" w:hAnsi="Times New Roman"/>
          <w:sz w:val="28"/>
          <w:szCs w:val="28"/>
        </w:rPr>
        <w:t>Граняк</w:t>
      </w:r>
      <w:proofErr w:type="spellEnd"/>
      <w:r w:rsidR="00E063B5">
        <w:rPr>
          <w:rFonts w:ascii="Times New Roman" w:hAnsi="Times New Roman"/>
          <w:sz w:val="28"/>
          <w:szCs w:val="28"/>
        </w:rPr>
        <w:t xml:space="preserve"> Ю.Г. </w:t>
      </w:r>
      <w:r w:rsidR="00396678">
        <w:rPr>
          <w:rFonts w:ascii="Times New Roman" w:hAnsi="Times New Roman"/>
          <w:sz w:val="28"/>
          <w:szCs w:val="28"/>
        </w:rPr>
        <w:t>«</w:t>
      </w:r>
      <w:r w:rsidR="00396678">
        <w:rPr>
          <w:rFonts w:ascii="Times New Roman" w:hAnsi="Times New Roman"/>
          <w:sz w:val="28"/>
          <w:szCs w:val="28"/>
          <w:lang w:eastAsia="en-US"/>
        </w:rPr>
        <w:t>Анализ  работы районного банка данных с семьями и несовершеннолетним, находящимися в социальном опасном положении за 2022 год</w:t>
      </w:r>
      <w:r w:rsidR="00396678">
        <w:rPr>
          <w:rFonts w:ascii="Times New Roman" w:hAnsi="Times New Roman"/>
          <w:color w:val="000000"/>
          <w:sz w:val="28"/>
          <w:szCs w:val="28"/>
        </w:rPr>
        <w:t>»</w:t>
      </w:r>
      <w:r w:rsidR="00580230" w:rsidRPr="000B3DCC">
        <w:rPr>
          <w:rFonts w:ascii="Times New Roman" w:hAnsi="Times New Roman"/>
          <w:sz w:val="28"/>
          <w:szCs w:val="28"/>
        </w:rPr>
        <w:t>,</w:t>
      </w:r>
      <w:r w:rsidR="00E022A3" w:rsidRPr="000B3D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A61E2D" w:rsidRDefault="00396678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E2D">
        <w:rPr>
          <w:rFonts w:ascii="Times New Roman" w:hAnsi="Times New Roman"/>
          <w:sz w:val="28"/>
          <w:szCs w:val="28"/>
        </w:rPr>
        <w:t xml:space="preserve">На сегодняшний день на учете в районном банке данных на семьи и несовершеннолетних, находящихся в социально опасном положении состоит 35 семей, в которых родители не должным образом исполняли свои обязанности, чаще всего злоупотребление спиртными напитками. Снято в 2022 году  - 8 семей, 6 семей в связи с исправлением. Так же на учете в районном банке данных состоит 17 несовершеннолетних детей.  Снято с учета в 2022 году 12 несовершеннолетних детей, 7 из которых в связи с исправлением. 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Субъекты системы профилактики безнадзорности и правонарушений несовершеннолетних, ответственные за проведение индивидуальной профилактической работы с  семьями, распределены следующим образом:</w:t>
      </w:r>
    </w:p>
    <w:p w:rsidR="00A61E2D" w:rsidRPr="00396678" w:rsidRDefault="00A61E2D" w:rsidP="00396678">
      <w:pPr>
        <w:pStyle w:val="a3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396678">
        <w:rPr>
          <w:sz w:val="28"/>
          <w:szCs w:val="28"/>
        </w:rPr>
        <w:t>ОМВД России по Ленинскому району является куратором  3 семей и 3 несовершеннолетних детей. Снято с учета за 2022 год – 1 семья и 1 несовершеннолетний.</w:t>
      </w:r>
    </w:p>
    <w:p w:rsidR="00A61E2D" w:rsidRPr="00396678" w:rsidRDefault="00A61E2D" w:rsidP="00396678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96678">
        <w:rPr>
          <w:sz w:val="28"/>
          <w:szCs w:val="28"/>
        </w:rPr>
        <w:lastRenderedPageBreak/>
        <w:t>ГБУЗ «</w:t>
      </w:r>
      <w:proofErr w:type="gramStart"/>
      <w:r w:rsidRPr="00396678">
        <w:rPr>
          <w:sz w:val="28"/>
          <w:szCs w:val="28"/>
        </w:rPr>
        <w:t>Ленинская</w:t>
      </w:r>
      <w:proofErr w:type="gramEnd"/>
      <w:r w:rsidRPr="00396678">
        <w:rPr>
          <w:sz w:val="28"/>
          <w:szCs w:val="28"/>
        </w:rPr>
        <w:t xml:space="preserve"> ЦРБ» является куратором 6-ти семей. </w:t>
      </w:r>
    </w:p>
    <w:p w:rsidR="00A61E2D" w:rsidRPr="00396678" w:rsidRDefault="00A61E2D" w:rsidP="00396678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96678">
        <w:rPr>
          <w:sz w:val="28"/>
          <w:szCs w:val="28"/>
        </w:rPr>
        <w:t>Образовательные учреждения является куратором  21-ой семьи и 11 несовершеннолетних детей. Снято с учета за 2022 год – 9 несовершеннолетних детей и 4 семьи.</w:t>
      </w:r>
    </w:p>
    <w:p w:rsidR="00A61E2D" w:rsidRPr="00396678" w:rsidRDefault="00A61E2D" w:rsidP="00396678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96678">
        <w:rPr>
          <w:color w:val="000000"/>
          <w:sz w:val="28"/>
          <w:szCs w:val="28"/>
        </w:rPr>
        <w:t xml:space="preserve">ГКОУ «Ленинская школа-интернат» является куратором 1 семьи и 1 несовершеннолетнего ребенка. </w:t>
      </w:r>
    </w:p>
    <w:p w:rsidR="00A61E2D" w:rsidRPr="00396678" w:rsidRDefault="00A61E2D" w:rsidP="00396678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96678">
        <w:rPr>
          <w:sz w:val="28"/>
          <w:szCs w:val="28"/>
        </w:rPr>
        <w:t>ГКУ СО «ЛЦСОН» является куратором  2 семей. Снято с учета за 2022 год – 4 семьи.</w:t>
      </w:r>
    </w:p>
    <w:p w:rsidR="00A61E2D" w:rsidRPr="00396678" w:rsidRDefault="00A61E2D" w:rsidP="00396678">
      <w:pPr>
        <w:pStyle w:val="a3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396678">
        <w:rPr>
          <w:sz w:val="28"/>
          <w:szCs w:val="28"/>
        </w:rPr>
        <w:t>Отдел опеки и попечительства является куратором 1 семьи и 1 несовершеннолетнего ребенка. Снято с учета за 2022 год – 1 несовершеннолетний ребенок и 1 семья.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Индивидуальная профилактическая работа</w:t>
      </w:r>
      <w:r>
        <w:rPr>
          <w:rFonts w:ascii="Times New Roman" w:hAnsi="Times New Roman"/>
          <w:sz w:val="28"/>
          <w:szCs w:val="28"/>
        </w:rPr>
        <w:t xml:space="preserve"> – это деятельность по своевременному выявлению несовершеннолетних и семей, находящихся в социально опасном положении, а также по их социально – педагогической реабилитации и предупреждению совершения ими правонарушений и антиобщественных действий.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  индивидуальной профилактической работы  с семьями и несовершеннолетними, находящимися в социально опасном положении строится на принципе межведомственного взаимодействия, распределения сфер ответственности между субъектами системы профилактики.</w:t>
      </w:r>
    </w:p>
    <w:p w:rsidR="00A61E2D" w:rsidRP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систему профилактики входят: комиссия по делам несовершеннолетних и защите их прав, органы местного самоуправления, осуществляющие  управления в сфере образования, органы  управления социальной защиты населения, органы опеки и попечительства, органы по делам молодежи, органы управления здравоохранения, органы службы занятости, органы внутренних дел, учреждения уголовно – исполнительной системы, а также учреждения, созданные данными органами.</w:t>
      </w:r>
      <w:proofErr w:type="gramEnd"/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Основаниями проведения индивидуальной профилактической работы в отношении несовершеннолетних и их родителей или законных представителей является постановление комиссии по делам несовершеннолетних и защите их прав Ленинского муниципального района (далее – КДН и ЗП) о постановке семьи на учет в районный банк данных на семьи и несовершеннолетних, находящихся в социально опасном положении.</w:t>
      </w:r>
    </w:p>
    <w:p w:rsidR="00A61E2D" w:rsidRDefault="00A61E2D" w:rsidP="00A61E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Комиссия по делам несовершеннолетних и защите их прав принимает на заседании КДНиЗП решение о постановке семьи на учет в районный банк данных на семьи и несовершеннолетних, находящихся в социально опасном положении и закрепляет основной субъект профилактики.</w:t>
      </w:r>
    </w:p>
    <w:p w:rsidR="00A61E2D" w:rsidRDefault="00A61E2D" w:rsidP="00A61E2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Выявление. Сообщение. Учёт.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выявлении несовершеннолетних и семей, оказавшихся в трудной жизненной ситуации и нуждающихся в социальной помощи и реабилитации, принимают участие все субъекты системы профилактики.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Способы получения информации:</w:t>
      </w:r>
    </w:p>
    <w:p w:rsidR="00A61E2D" w:rsidRDefault="00A61E2D" w:rsidP="0039667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граждан;</w:t>
      </w:r>
    </w:p>
    <w:p w:rsidR="00A61E2D" w:rsidRDefault="00A61E2D" w:rsidP="0039667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должностных лиц органов и учреждений;</w:t>
      </w:r>
    </w:p>
    <w:p w:rsidR="00A61E2D" w:rsidRDefault="00A61E2D" w:rsidP="0039667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проведения рейдов;</w:t>
      </w:r>
    </w:p>
    <w:p w:rsidR="00A61E2D" w:rsidRDefault="00A61E2D" w:rsidP="00396678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заявления родственников, соседей.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Работа по созданию системы раннего выявления всех форм семейного неблагополучия является важным аспектом деятельности субъектов профилактики.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По мере поступления информации и необходимых документов на семью и ребёнка происходит процесс квалификации или переквалификации группы учёта семьи и ребёнка в соответствии с действующим законодательством, а также намечается комплекс мероприятий по защите прав и законных интересов несовершеннолетнего и организации индивидуально-профилактической работы.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Индивидуально-профилактическая работа.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Индивидуальную профилактическую работу (ИПР) с несовершеннолетними и семьями, оказавшимися в трудной жизненной ситуации, и нуждающимися в социальной помощи и реабилитации осуществляют посредством психолого-педагогического,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медико</w:t>
      </w:r>
      <w:r>
        <w:rPr>
          <w:rFonts w:ascii="Times New Roman" w:hAnsi="Times New Roman"/>
          <w:color w:val="000000"/>
          <w:sz w:val="28"/>
          <w:szCs w:val="28"/>
        </w:rPr>
        <w:softHyphen/>
        <w:t>социального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воспитательного сопровождения, а также посредством оказания конкретных видов услуг.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ИПР включает в себя социальную адаптацию, социальную реабилитацию, мероприятия по защите прав, сопровождение индивидуального развития ребёнка, оказание помощи семье, организацию обучения, отдыха, трудоустройства.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Мероприятия индивидуально - профилактической работы:</w:t>
      </w:r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социальная адаптация (проведение профилактических бесед, разъяснение прав и обязанностей, степени ответственности за нарушение прав и интересов ребёнка, переориентация, направление в центры психолого-педагогической помощи и т.д.);</w:t>
      </w:r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социальная реабилитация (направление в социально-реабилитационные центры и</w:t>
      </w:r>
      <w:r w:rsidR="00396678">
        <w:rPr>
          <w:color w:val="000000"/>
          <w:sz w:val="28"/>
          <w:szCs w:val="28"/>
        </w:rPr>
        <w:t xml:space="preserve"> </w:t>
      </w:r>
      <w:r w:rsidRPr="00396678">
        <w:rPr>
          <w:color w:val="000000"/>
          <w:sz w:val="28"/>
          <w:szCs w:val="28"/>
        </w:rPr>
        <w:t>т.д.);</w:t>
      </w:r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396678">
        <w:rPr>
          <w:color w:val="000000"/>
          <w:sz w:val="28"/>
          <w:szCs w:val="28"/>
        </w:rPr>
        <w:t>по защите права на образование, отдых, труд (устройство в дошкольное образовательное учреждение, школу, направление в лагерь, санаторий, организация досуга, устройство на работу, временная занятость и т.д.);</w:t>
      </w:r>
      <w:proofErr w:type="gramEnd"/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по защите жилищных прав (постановка на контроль жилой площади, подача искового заявления в суд или ходатайства в прокуратуру в защиту нарушенных жилищных прав и т.д.);</w:t>
      </w:r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 xml:space="preserve">по защите имущественных прав (взыскание алиментов с другого родителя или оформление нотариально заверенного соглашения о содержании детей, содействие в оформлении пенсий и пособий, вопросы наследования, </w:t>
      </w:r>
      <w:proofErr w:type="gramStart"/>
      <w:r w:rsidRPr="00396678">
        <w:rPr>
          <w:color w:val="000000"/>
          <w:sz w:val="28"/>
          <w:szCs w:val="28"/>
        </w:rPr>
        <w:t>контроль за</w:t>
      </w:r>
      <w:proofErr w:type="gramEnd"/>
      <w:r w:rsidRPr="00396678">
        <w:rPr>
          <w:color w:val="000000"/>
          <w:sz w:val="28"/>
          <w:szCs w:val="28"/>
        </w:rPr>
        <w:t xml:space="preserve"> соблюдением прав при совершении сделок и т.д.);</w:t>
      </w:r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по защите неимущественных прав (право на имя, на воспитание обоими родителями, на общение с другими родственниками, на учёт мнения ребёнка, на защиту от злоупотребления со стороны законных представителей и иных лиц и т.д.);</w:t>
      </w:r>
    </w:p>
    <w:p w:rsidR="00A61E2D" w:rsidRPr="00396678" w:rsidRDefault="00A61E2D" w:rsidP="00396678">
      <w:pPr>
        <w:pStyle w:val="a3"/>
        <w:numPr>
          <w:ilvl w:val="0"/>
          <w:numId w:val="18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 xml:space="preserve">оказание различных видов помощи (гуманитарная, материальная, </w:t>
      </w:r>
      <w:proofErr w:type="spellStart"/>
      <w:r w:rsidRPr="00396678">
        <w:rPr>
          <w:color w:val="000000"/>
          <w:sz w:val="28"/>
          <w:szCs w:val="28"/>
        </w:rPr>
        <w:t>психолого</w:t>
      </w:r>
      <w:r w:rsidRPr="00396678">
        <w:rPr>
          <w:color w:val="000000"/>
          <w:sz w:val="28"/>
          <w:szCs w:val="28"/>
        </w:rPr>
        <w:softHyphen/>
        <w:t>педагогическая</w:t>
      </w:r>
      <w:proofErr w:type="spellEnd"/>
      <w:r w:rsidRPr="00396678">
        <w:rPr>
          <w:color w:val="000000"/>
          <w:sz w:val="28"/>
          <w:szCs w:val="28"/>
        </w:rPr>
        <w:t xml:space="preserve">, медицинская и т.д.). 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Организация досуга несовершеннолетних:</w:t>
      </w:r>
    </w:p>
    <w:p w:rsidR="00A61E2D" w:rsidRP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lastRenderedPageBreak/>
        <w:t>организация работы бесплатных кружков и секций;</w:t>
      </w:r>
    </w:p>
    <w:p w:rsidR="00A61E2D" w:rsidRP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организация совместно с правоохранительными органами воспитательной и индивидуально-профилактической работы с несовершеннолетними, состоящими на учёте в ПДН;</w:t>
      </w:r>
    </w:p>
    <w:p w:rsidR="00A61E2D" w:rsidRP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организация мест свободного общения для подростков и молодёжи;</w:t>
      </w:r>
    </w:p>
    <w:p w:rsidR="00A61E2D" w:rsidRP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проведение культурно-массовой работы через организацию вечеров отдыха, лекций, концертов, дискотек, смотров, передвижных выставок, кинолекториев;</w:t>
      </w:r>
    </w:p>
    <w:p w:rsidR="00A61E2D" w:rsidRP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проведение физкультурно-оздоровительной и спортивно-массовой работы, организация походов, спартакиад, соревнований по различным видам спорта;</w:t>
      </w:r>
    </w:p>
    <w:p w:rsid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реализация мероприятий, способствующих профориентации и обеспечивающих трудовую занятость несовершеннолетних;</w:t>
      </w:r>
    </w:p>
    <w:p w:rsidR="00A61E2D" w:rsidRPr="00396678" w:rsidRDefault="00A61E2D" w:rsidP="00396678">
      <w:pPr>
        <w:pStyle w:val="a3"/>
        <w:numPr>
          <w:ilvl w:val="0"/>
          <w:numId w:val="19"/>
        </w:numPr>
        <w:ind w:left="0" w:firstLine="0"/>
        <w:jc w:val="both"/>
        <w:rPr>
          <w:color w:val="000000"/>
          <w:sz w:val="28"/>
          <w:szCs w:val="28"/>
        </w:rPr>
      </w:pPr>
      <w:r w:rsidRPr="00396678">
        <w:rPr>
          <w:color w:val="000000"/>
          <w:sz w:val="28"/>
          <w:szCs w:val="28"/>
        </w:rPr>
        <w:t>реализация программ различной направленности по профилактике безнадзорности и правонарушений несовершеннолетних.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Устройство и дальнейшая поддержка.</w:t>
      </w:r>
    </w:p>
    <w:p w:rsidR="00A61E2D" w:rsidRDefault="00A61E2D" w:rsidP="00A6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Оказание различных видов помощи по устройству детей, оставшихся без попечения родителей (установление опеки или попечительства, передача на воспитание в приёмную семью, усыновление, устройство в детское государственное учреждение для детей-сирот и детей, оставшихся без попечения родителей), и временному устройству в приюты, социально-реабилитационные центры для детей, нуждающихся в социальной реабилитации, педиатрические отделения больниц.</w:t>
      </w:r>
      <w:proofErr w:type="gramEnd"/>
    </w:p>
    <w:p w:rsidR="00A90DC3" w:rsidRPr="003C070E" w:rsidRDefault="00A90DC3" w:rsidP="00A61E2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33268" w:rsidRPr="00E770CE" w:rsidRDefault="00733268" w:rsidP="00F2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A3" w:rsidRPr="000154F9" w:rsidRDefault="00E022A3" w:rsidP="00E770CE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891109" w:rsidRPr="00E063B5" w:rsidRDefault="00CE111A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063B5">
        <w:rPr>
          <w:sz w:val="28"/>
          <w:szCs w:val="28"/>
          <w:shd w:val="clear" w:color="auto" w:fill="FFFFFF"/>
        </w:rPr>
        <w:t xml:space="preserve"> </w:t>
      </w:r>
      <w:r w:rsidR="00891109" w:rsidRPr="00E063B5">
        <w:rPr>
          <w:sz w:val="28"/>
          <w:szCs w:val="28"/>
          <w:shd w:val="clear" w:color="auto" w:fill="FFFFFF"/>
        </w:rPr>
        <w:t xml:space="preserve">Информацию </w:t>
      </w:r>
      <w:r w:rsidR="006D74B3">
        <w:rPr>
          <w:sz w:val="28"/>
          <w:szCs w:val="28"/>
          <w:shd w:val="clear" w:color="auto" w:fill="FFFFFF"/>
        </w:rPr>
        <w:t xml:space="preserve">ответственного секретаря </w:t>
      </w:r>
      <w:r w:rsidR="00E063B5" w:rsidRPr="00E063B5">
        <w:rPr>
          <w:sz w:val="28"/>
          <w:szCs w:val="28"/>
        </w:rPr>
        <w:t xml:space="preserve">комиссии по делам несовершеннолетних и защите их прав Ленинского муниципального района </w:t>
      </w:r>
      <w:proofErr w:type="spellStart"/>
      <w:r w:rsidR="00E063B5" w:rsidRPr="00E063B5">
        <w:rPr>
          <w:sz w:val="28"/>
          <w:szCs w:val="28"/>
        </w:rPr>
        <w:t>Граняк</w:t>
      </w:r>
      <w:proofErr w:type="spellEnd"/>
      <w:r w:rsidR="00E063B5" w:rsidRPr="00E063B5">
        <w:rPr>
          <w:sz w:val="28"/>
          <w:szCs w:val="28"/>
        </w:rPr>
        <w:t xml:space="preserve"> Ю.Г. </w:t>
      </w:r>
      <w:r w:rsidR="00891109" w:rsidRPr="00E063B5">
        <w:rPr>
          <w:sz w:val="28"/>
          <w:szCs w:val="28"/>
        </w:rPr>
        <w:t>принять к сведению.</w:t>
      </w:r>
    </w:p>
    <w:p w:rsidR="00891109" w:rsidRPr="006D74B3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6D74B3">
        <w:rPr>
          <w:sz w:val="28"/>
          <w:szCs w:val="28"/>
        </w:rPr>
        <w:t>Контроль за</w:t>
      </w:r>
      <w:proofErr w:type="gramEnd"/>
      <w:r w:rsidRPr="006D74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1109" w:rsidRPr="006D74B3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B3">
        <w:rPr>
          <w:rFonts w:ascii="Times New Roman" w:hAnsi="Times New Roman"/>
          <w:sz w:val="28"/>
          <w:szCs w:val="28"/>
        </w:rPr>
        <w:tab/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891109" w:rsidRPr="006D74B3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B3">
        <w:rPr>
          <w:rFonts w:ascii="Times New Roman" w:hAnsi="Times New Roman"/>
          <w:sz w:val="28"/>
          <w:szCs w:val="28"/>
        </w:rPr>
        <w:tab/>
        <w:t>Постановление принято большинством голосов.</w:t>
      </w: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A90DC3" w:rsidRDefault="00A90DC3" w:rsidP="00A90DC3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A90DC3" w:rsidP="00A90DC3">
      <w:pPr>
        <w:spacing w:after="0"/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44C93"/>
    <w:multiLevelType w:val="multilevel"/>
    <w:tmpl w:val="8242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976AF"/>
    <w:multiLevelType w:val="hybridMultilevel"/>
    <w:tmpl w:val="C688EB6E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FD66E0"/>
    <w:multiLevelType w:val="hybridMultilevel"/>
    <w:tmpl w:val="E34ECF7A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B4612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AC6157"/>
    <w:multiLevelType w:val="multilevel"/>
    <w:tmpl w:val="046E475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AA03A1"/>
    <w:multiLevelType w:val="hybridMultilevel"/>
    <w:tmpl w:val="AF54B8D4"/>
    <w:lvl w:ilvl="0" w:tplc="BB461226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B3DCC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116E2"/>
    <w:rsid w:val="00261D52"/>
    <w:rsid w:val="00275EC2"/>
    <w:rsid w:val="00277148"/>
    <w:rsid w:val="00283185"/>
    <w:rsid w:val="0033561B"/>
    <w:rsid w:val="00344DC0"/>
    <w:rsid w:val="00364F9A"/>
    <w:rsid w:val="003656DC"/>
    <w:rsid w:val="003751F1"/>
    <w:rsid w:val="00391EE0"/>
    <w:rsid w:val="00396678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62CA2"/>
    <w:rsid w:val="00681024"/>
    <w:rsid w:val="006D113D"/>
    <w:rsid w:val="006D34A4"/>
    <w:rsid w:val="006D74B3"/>
    <w:rsid w:val="006F49BD"/>
    <w:rsid w:val="007321D2"/>
    <w:rsid w:val="00733268"/>
    <w:rsid w:val="007475A0"/>
    <w:rsid w:val="00763B90"/>
    <w:rsid w:val="007D1DE0"/>
    <w:rsid w:val="007E46E9"/>
    <w:rsid w:val="00845D9D"/>
    <w:rsid w:val="00851443"/>
    <w:rsid w:val="00876E42"/>
    <w:rsid w:val="008826EA"/>
    <w:rsid w:val="00885EAE"/>
    <w:rsid w:val="00885F4B"/>
    <w:rsid w:val="00891109"/>
    <w:rsid w:val="00896633"/>
    <w:rsid w:val="008E1526"/>
    <w:rsid w:val="008F10D4"/>
    <w:rsid w:val="00910D64"/>
    <w:rsid w:val="00921F80"/>
    <w:rsid w:val="0092652A"/>
    <w:rsid w:val="009308E1"/>
    <w:rsid w:val="00955293"/>
    <w:rsid w:val="00962454"/>
    <w:rsid w:val="00975016"/>
    <w:rsid w:val="009A2D4C"/>
    <w:rsid w:val="009B0DF8"/>
    <w:rsid w:val="009C05FA"/>
    <w:rsid w:val="009F0742"/>
    <w:rsid w:val="00A14637"/>
    <w:rsid w:val="00A32C48"/>
    <w:rsid w:val="00A616A8"/>
    <w:rsid w:val="00A61E2D"/>
    <w:rsid w:val="00A6247A"/>
    <w:rsid w:val="00A72579"/>
    <w:rsid w:val="00A90DC3"/>
    <w:rsid w:val="00AB5F4D"/>
    <w:rsid w:val="00AC4F0F"/>
    <w:rsid w:val="00AC75F3"/>
    <w:rsid w:val="00AD1026"/>
    <w:rsid w:val="00AD103E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766DB"/>
    <w:rsid w:val="00B86636"/>
    <w:rsid w:val="00B93271"/>
    <w:rsid w:val="00BE5F50"/>
    <w:rsid w:val="00C05C26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063B5"/>
    <w:rsid w:val="00E64406"/>
    <w:rsid w:val="00E735B8"/>
    <w:rsid w:val="00E770CE"/>
    <w:rsid w:val="00E818A7"/>
    <w:rsid w:val="00E926EA"/>
    <w:rsid w:val="00EB784E"/>
    <w:rsid w:val="00EE407B"/>
    <w:rsid w:val="00EF154E"/>
    <w:rsid w:val="00F20BBD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nhideWhenUsed/>
    <w:rsid w:val="00F20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locked/>
    <w:rsid w:val="00F20BBD"/>
    <w:rPr>
      <w:i/>
      <w:iCs/>
    </w:rPr>
  </w:style>
  <w:style w:type="character" w:styleId="ab">
    <w:name w:val="Strong"/>
    <w:basedOn w:val="a0"/>
    <w:uiPriority w:val="22"/>
    <w:qFormat/>
    <w:locked/>
    <w:rsid w:val="00F20BBD"/>
    <w:rPr>
      <w:b/>
      <w:bCs/>
    </w:rPr>
  </w:style>
  <w:style w:type="character" w:customStyle="1" w:styleId="ac">
    <w:name w:val="Основной текст_"/>
    <w:basedOn w:val="a0"/>
    <w:link w:val="10"/>
    <w:locked/>
    <w:rsid w:val="00A90DC3"/>
    <w:rPr>
      <w:rFonts w:ascii="Times New Roman" w:hAnsi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c"/>
    <w:rsid w:val="00A90DC3"/>
    <w:pPr>
      <w:widowControl w:val="0"/>
      <w:shd w:val="clear" w:color="auto" w:fill="FFFFFF"/>
      <w:spacing w:after="0" w:line="302" w:lineRule="exact"/>
    </w:pPr>
    <w:rPr>
      <w:rFonts w:ascii="Times New Roman" w:hAnsi="Times New Roman"/>
      <w:spacing w:val="2"/>
    </w:rPr>
  </w:style>
  <w:style w:type="character" w:customStyle="1" w:styleId="2">
    <w:name w:val="Основной текст (2)"/>
    <w:basedOn w:val="a0"/>
    <w:rsid w:val="00A90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A90DC3"/>
    <w:rPr>
      <w:rFonts w:ascii="Times New Roman" w:hAnsi="Times New Roman"/>
      <w:sz w:val="24"/>
      <w:szCs w:val="24"/>
    </w:rPr>
  </w:style>
  <w:style w:type="character" w:customStyle="1" w:styleId="TimesNewRoman0pt">
    <w:name w:val="Основной текст + Times New Roman;Интервал 0 pt"/>
    <w:basedOn w:val="ac"/>
    <w:rsid w:val="00A90DC3"/>
    <w:rPr>
      <w:rFonts w:eastAsia="Times New Roman"/>
      <w:color w:val="000000"/>
      <w:spacing w:val="-2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2022-10-07T06:12:00Z</cp:lastPrinted>
  <dcterms:created xsi:type="dcterms:W3CDTF">2022-10-06T14:09:00Z</dcterms:created>
  <dcterms:modified xsi:type="dcterms:W3CDTF">2022-10-07T06:12:00Z</dcterms:modified>
</cp:coreProperties>
</file>